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56"/>
                <wp:lineTo x="21584" y="20856"/>
                <wp:lineTo x="21584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29210" distB="29210" distL="635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before="0" w:after="86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 новых автомобилей региональное Отделение СФР вручило </w:t>
      </w:r>
    </w:p>
    <w:p>
      <w:pPr>
        <w:pStyle w:val="Normal"/>
        <w:spacing w:before="0" w:after="86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пострадавшим на производстве жителям Волгоградской области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spacing w:before="0" w:after="86"/>
        <w:jc w:val="both"/>
        <w:rPr>
          <w:rFonts w:ascii="Times New Roman" w:hAnsi="Times New Roman"/>
          <w:b w:val="false"/>
          <w:bCs w:val="false"/>
          <w:sz w:val="10"/>
          <w:szCs w:val="10"/>
        </w:rPr>
      </w:pPr>
      <w:r>
        <w:rPr>
          <w:rFonts w:ascii="Times New Roman" w:hAnsi="Times New Roman"/>
          <w:b w:val="false"/>
          <w:bCs w:val="false"/>
          <w:sz w:val="10"/>
          <w:szCs w:val="10"/>
        </w:rPr>
      </w:r>
    </w:p>
    <w:p>
      <w:pPr>
        <w:pStyle w:val="BodyText"/>
        <w:spacing w:lineRule="auto" w:line="276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ab/>
        <w:t>Руководство Отделения Социального фонда России по Волгоградской области вручило ключи от новых Lada Granta и Lada Vesta 10 жителям региона, пострадавшим в результате несчастного случая на производстве. Lada Granta оборудованы механической коробкой передач и имеют ручное управление. Lada Vesta –  автоматической коробкой передач с ручным и обычным управлением. Все машины адаптированы под индивидуальные физические особенности новых владельцев.</w:t>
      </w:r>
    </w:p>
    <w:p>
      <w:pPr>
        <w:pStyle w:val="BodyText"/>
        <w:spacing w:lineRule="auto" w:line="276"/>
        <w:ind w:hanging="0" w:left="0" w:right="0"/>
        <w:jc w:val="both"/>
        <w:rPr>
          <w:rStyle w:val="Strong"/>
          <w:rFonts w:ascii="Times New Roman" w:hAnsi="Times New Roman"/>
          <w:b w:val="false"/>
          <w:bCs w:val="false"/>
          <w:sz w:val="28"/>
          <w:szCs w:val="28"/>
        </w:rPr>
      </w:pPr>
      <w:r>
        <w:rPr/>
      </w:r>
    </w:p>
    <w:p>
      <w:pPr>
        <w:pStyle w:val="BodyText"/>
        <w:spacing w:lineRule="auto" w:line="276"/>
        <w:ind w:hanging="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Специальный автомобиль выда</w:t>
      </w:r>
      <w:r>
        <w:rPr>
          <w:rFonts w:ascii="Times New Roman" w:hAnsi="Times New Roman"/>
          <w:b w:val="false"/>
          <w:bCs w:val="false"/>
          <w:sz w:val="28"/>
          <w:szCs w:val="28"/>
        </w:rPr>
        <w:t>ё</w:t>
      </w:r>
      <w:r>
        <w:rPr>
          <w:rFonts w:ascii="Times New Roman" w:hAnsi="Times New Roman"/>
          <w:b w:val="false"/>
          <w:bCs w:val="false"/>
          <w:sz w:val="28"/>
          <w:szCs w:val="28"/>
        </w:rPr>
        <w:t>тся один раз в семь лет по заключению бюро медико-социальной экспертизы при наличии у гражданина соответствующих медицинских показаний и отсутствии противопоказаний к вождению. По окончании этого срока, если бюро медико-социальной экспертизы подтверждает его необходимость, транспорт заменяется новым, а прежний остается в распоряжении хозяина.</w:t>
      </w:r>
    </w:p>
    <w:p>
      <w:pPr>
        <w:pStyle w:val="BodyText"/>
        <w:spacing w:lineRule="auto" w:line="276"/>
        <w:ind w:hanging="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Также Отделение СФР по Волгоградской области частично компенсирует затраты владельца автомобиля на горюче-смазочные материалы, на текущий ремонт машины, на капитальный ремонт - один раз в течение срока его эксплуатации.</w:t>
      </w:r>
    </w:p>
    <w:p>
      <w:pPr>
        <w:pStyle w:val="BodyText"/>
        <w:spacing w:lineRule="auto" w:line="276"/>
        <w:ind w:hanging="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2025 году адаптированные автомобили от Отделения СФР получил 21 человек.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76" w:before="0" w:after="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b/>
          <w:bCs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Pages>1</Pages>
  <Words>180</Words>
  <Characters>1297</Characters>
  <CharactersWithSpaces>1522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2025-12-10T12:01:51Z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